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LV-C[C1]-R[1-1-1-r-] Greening the Riga Metropolitan Range Transport System</w:t>
      </w:r>
    </w:p>
    <w:p w:rsidR="00DC6807" w:rsidRPr="00905B9C" w:rsidP="01BD11D8" w14:paraId="4C22E5B9" w14:textId="470FD0EC">
      <w:pPr>
        <w:jc w:val="right"/>
        <w:rPr>
          <w:b/>
          <w:bCs/>
          <w:highlight w:val="cyan"/>
          <w:lang w:val="fr-BE"/>
        </w:rPr>
      </w:pPr>
      <w:r w:rsidRPr="00905B9C" w:rsidR="005B3C6E">
        <w:rPr>
          <w:b/>
          <w:bCs/>
          <w:lang w:val="fr-BE"/>
        </w:rPr>
        <w:t>LV-C[C1]-R[1-1-1-r-]-M[2] Reform of public transport RMA</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Q4 2025</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general objective of the measure is to contribute to reduce Latvia’s greenhouse gas (GHG) emissions with a focus on transport which represents the biggest source of GHG emissions (28,5 % share of total GHG emissions (excluding land use, land-use change and forestry) in 2018 and 36,7 % of non-ETS GHG emissions). This measure specifically focuses on the Riga metropolitan area which covers about 65% of the Latvian population. A specific objective is to consolidate and rationalise the currently fragmented transport system to incentivise the use of public transportation. The measure consists in a general overhaul of the Riga Metropolitan Transport System. A multimodal public transport network with a single and coherent timetable, a single price and discount policy and a single ticket system shall be created. The measure shall also include a substantial investment programme in clean mobility and infrastructure with a focus on railway solutions (electrification of 100 km of railway), zero-emission public transport (acquisition of 17 electric buses and seven electric bus charging stations) and construction of cycle lanes. This shall be complemented by the construction of a public transport hub (bus/electric bus, tram and trolleybus), eight mobility points, a 5.3 km bus rapid transit lane and the extension of the tram line by 2.2 km and trolleybus line by 0.3 km, to support multimodal transport use. The measure shall be implemented by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2</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C1.1-1-1-r- Greening the Riga Metropolitan Range Transport System</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Reform of public transport RMA</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Entry into service of a unified multimodal public transport route network for the Riga metropolitan area</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Q4</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2025</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Transport</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Entry into service of a multimodal public transport route network for the Riga metropolitan area with a single and harmonised timetable, single price and discount policy and single ticket for integrated public transport system Riga metropolitan area</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milestone (including all the constitutive elements) was satisfactorily fulfilled, with appropriate links to the underlying evidence. This document shall include as an annex the following documentary evidence: a) the single and harmonised timetable of the Riga metropolitan area transport approved by the authorities responsible for commissioning public transport; b) a document such as a user guide / passenger guide setting out the single price and discount policy; c) a sample of a single ticket for integrated public transport system Riga metropolitan area.</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